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968" w:rsidRDefault="00AE1968" w:rsidP="00AE1968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lang w:val="nl-NL"/>
        </w:rPr>
        <w:t>PHỤ LỤC 06</w:t>
      </w:r>
    </w:p>
    <w:p w:rsidR="00AE1968" w:rsidRDefault="00AE1968" w:rsidP="00AE1968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nl-NL"/>
        </w:rPr>
      </w:pPr>
      <w:r>
        <w:rPr>
          <w:rFonts w:ascii="Times New Roman" w:hAnsi="Times New Roman" w:cs="Times New Roman"/>
          <w:b/>
          <w:bCs/>
          <w:sz w:val="28"/>
          <w:lang w:val="nl-NL"/>
        </w:rPr>
        <w:t>DANH SÁCH 06 GIẤY PHÉP KTKS CÓ VI PHẠM VỀ ĐẤT ĐAI</w:t>
      </w:r>
    </w:p>
    <w:p w:rsidR="00AE1968" w:rsidRDefault="00AE1968" w:rsidP="00AE1968">
      <w:pPr>
        <w:spacing w:after="0"/>
        <w:jc w:val="center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 xml:space="preserve">(Kèm theo </w:t>
      </w:r>
      <w:r>
        <w:rPr>
          <w:rFonts w:ascii="Times New Roman" w:hAnsi="Times New Roman" w:cs="Times New Roman"/>
          <w:i/>
          <w:iCs/>
          <w:sz w:val="28"/>
          <w:lang w:val="nl-NL"/>
        </w:rPr>
        <w:t>Kết luận thanh tra số       /KL-TTr ngày     /   /2025</w:t>
      </w:r>
      <w:r>
        <w:rPr>
          <w:rFonts w:ascii="Times New Roman" w:hAnsi="Times New Roman" w:cs="Times New Roman"/>
          <w:i/>
          <w:iCs/>
          <w:sz w:val="28"/>
        </w:rPr>
        <w:t>)</w:t>
      </w:r>
    </w:p>
    <w:tbl>
      <w:tblPr>
        <w:tblW w:w="14742" w:type="dxa"/>
        <w:tblInd w:w="-5" w:type="dxa"/>
        <w:tblLook w:val="04A0" w:firstRow="1" w:lastRow="0" w:firstColumn="1" w:lastColumn="0" w:noHBand="0" w:noVBand="1"/>
      </w:tblPr>
      <w:tblGrid>
        <w:gridCol w:w="746"/>
        <w:gridCol w:w="3932"/>
        <w:gridCol w:w="8505"/>
        <w:gridCol w:w="1559"/>
      </w:tblGrid>
      <w:tr w:rsidR="00AE1968" w:rsidTr="00AE1968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TT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Cơ quan/tổ chức/cá nhân vi phạm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Nội dung vi phạm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Đất (m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)</w:t>
            </w:r>
          </w:p>
        </w:tc>
      </w:tr>
      <w:tr w:rsidR="00AE1968" w:rsidTr="00AE1968">
        <w:trPr>
          <w:trHeight w:val="570"/>
        </w:trPr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I. GIẤY PHÉP KHAI THÁC ĐƯỢC CẤP TRONG THỜI KỲ THANH TRA</w:t>
            </w:r>
          </w:p>
        </w:tc>
      </w:tr>
      <w:tr w:rsidR="00AE1968" w:rsidTr="00AE1968">
        <w:trPr>
          <w:trHeight w:val="999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1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Công ty TNHH MTV Xăng dầu Yến Khang (giấy phép gia hạn khai thác số 1649/GP-UBND)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Tại thời điểm gia hạn khai thác, chủ đầu tư k</w:t>
            </w:r>
            <w:r>
              <w:rPr>
                <w:rFonts w:ascii="Times New Roman" w:eastAsia="Times New Roman" w:hAnsi="Times New Roman" w:cs="Times New Roman"/>
                <w:sz w:val="28"/>
                <w:lang w:val="nl-NL"/>
              </w:rPr>
              <w:t>hông thực hiện thủ tục gia hạn thời gian sử dụng đất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. Hiện nay Giấy phép gia hạn khai thác đã hết hạn.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46.639,9</w:t>
            </w:r>
          </w:p>
        </w:tc>
      </w:tr>
      <w:tr w:rsidR="00AE1968" w:rsidTr="00AE1968">
        <w:trPr>
          <w:trHeight w:val="986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2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Công ty TNHH TMDV Cát Tường (giấy phép khai thác số 407/GP-UBND)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 xml:space="preserve">Tại thời điểm gia hạn khai thác, chủ đầu tư không </w:t>
            </w:r>
            <w:r>
              <w:rPr>
                <w:rFonts w:ascii="Times New Roman" w:eastAsia="Times New Roman" w:hAnsi="Times New Roman" w:cs="Times New Roman"/>
                <w:sz w:val="28"/>
                <w:lang w:val="nl-NL"/>
              </w:rPr>
              <w:t>thực hiện thủ tục gia hạn thời gian sử dụng đất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. Hiện nay Giấy phép gia hạn khai thác đã hết hạn.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35.000</w:t>
            </w:r>
          </w:p>
        </w:tc>
      </w:tr>
      <w:tr w:rsidR="00AE1968" w:rsidTr="00AE1968">
        <w:trPr>
          <w:trHeight w:val="983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3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Công ty TNHH Đồng Thuận Hà (giấy phép khai thác số 304/GP-UBND)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2"/>
                <w:lang w:val="nl-NL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 xml:space="preserve">Chưa </w:t>
            </w:r>
            <w:r>
              <w:rPr>
                <w:rFonts w:ascii="Times New Roman" w:eastAsia="Times New Roman" w:hAnsi="Times New Roman" w:cs="Times New Roman"/>
                <w:sz w:val="28"/>
                <w:lang w:val="nl-NL"/>
              </w:rPr>
              <w:t xml:space="preserve">đăng ký biến động 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đất đai (43.192,7 m</w:t>
            </w:r>
            <w:r>
              <w:rPr>
                <w:rFonts w:ascii="Times New Roman" w:eastAsia="Times New Roman" w:hAnsi="Times New Roman" w:cs="Times New Roman"/>
                <w:sz w:val="28"/>
                <w:vertAlign w:val="superscript"/>
                <w:lang w:val="vi-VN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lang w:val="nl-NL"/>
              </w:rPr>
              <w:t>sau khi được chuyển mục đích sử dụng đất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. Hiện nay, Giấy phép khai thác còn hạn.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43.192,7 </w:t>
            </w:r>
          </w:p>
        </w:tc>
      </w:tr>
      <w:tr w:rsidR="00AE1968" w:rsidTr="00AE1968">
        <w:trPr>
          <w:trHeight w:val="19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4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Công ty TNHH Đồng Thuận Hà (giấy phép gia hạn khai thác số 2664/GP-UBND)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- Không đăng ký biến động đất đai (16.235 m</w:t>
            </w:r>
            <w:r>
              <w:rPr>
                <w:rFonts w:ascii="Times New Roman" w:eastAsia="Times New Roman" w:hAnsi="Times New Roman" w:cs="Times New Roman"/>
                <w:sz w:val="28"/>
                <w:vertAlign w:val="superscript"/>
                <w:lang w:val="vi-VN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vi-V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nl-NL"/>
              </w:rPr>
              <w:t>sau khi được chuyển mục đích sử dụng đất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. Hiện nay Giấy phép gia hạn khai thác đã hết hạn.</w:t>
            </w:r>
          </w:p>
          <w:p w:rsidR="00AE1968" w:rsidRDefault="00AE1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- Tại thời điểm gia hạn khai thác, chủ đầu tư k</w:t>
            </w:r>
            <w:r>
              <w:rPr>
                <w:rFonts w:ascii="Times New Roman" w:eastAsia="Times New Roman" w:hAnsi="Times New Roman" w:cs="Times New Roman"/>
                <w:sz w:val="28"/>
                <w:lang w:val="nl-NL"/>
              </w:rPr>
              <w:t xml:space="preserve">hông thực hiện thủ tục gia hạn thời gian sử dụng đất 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(16.235m</w:t>
            </w:r>
            <w:r>
              <w:rPr>
                <w:rFonts w:ascii="Times New Roman" w:eastAsia="Times New Roman" w:hAnsi="Times New Roman" w:cs="Times New Roman"/>
                <w:sz w:val="28"/>
                <w:vertAlign w:val="superscript"/>
                <w:lang w:val="vi-VN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).</w:t>
            </w:r>
          </w:p>
          <w:p w:rsidR="00AE1968" w:rsidRDefault="00AE1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- Không gia hạn Hợp đồng thuê đất.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16.235 </w:t>
            </w:r>
          </w:p>
        </w:tc>
      </w:tr>
      <w:tr w:rsidR="00AE1968" w:rsidTr="00AE1968">
        <w:trPr>
          <w:trHeight w:val="115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5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Công ty TNHH TM-XNK Tân Hưng Cường (giấy phép khai thác số 1510/GP-UBND)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- Chưa đăng ký biến động đất đai (66.420 m</w:t>
            </w:r>
            <w:r>
              <w:rPr>
                <w:rFonts w:ascii="Times New Roman" w:eastAsia="Times New Roman" w:hAnsi="Times New Roman" w:cs="Times New Roman"/>
                <w:sz w:val="28"/>
                <w:vertAlign w:val="superscript"/>
                <w:lang w:val="vi-VN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vi-V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 xml:space="preserve">sau khi được UBND tỉnh quyết định cho phép chuyển MĐSDĐ.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Hiện nay, 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Giấy phép k</w:t>
            </w:r>
            <w:r>
              <w:rPr>
                <w:rFonts w:ascii="Times New Roman" w:eastAsia="Times New Roman" w:hAnsi="Times New Roman" w:cs="Times New Roman"/>
                <w:sz w:val="28"/>
              </w:rPr>
              <w:t>hai thác còn hạn.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66.420 </w:t>
            </w:r>
          </w:p>
        </w:tc>
      </w:tr>
      <w:tr w:rsidR="00AE1968" w:rsidTr="00AE1968">
        <w:trPr>
          <w:trHeight w:val="582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Cộng (I):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207.487,6 </w:t>
            </w:r>
          </w:p>
        </w:tc>
      </w:tr>
      <w:tr w:rsidR="00AE1968" w:rsidTr="00AE1968">
        <w:trPr>
          <w:trHeight w:val="600"/>
        </w:trPr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II. GIẤY PHÉP KHAI THÁC ĐƯỢC CẤP TRƯỚC NĂM 2019 NHƯNG CÒN HẠN KHAI THÁC TRONG THỜI KỲ THANH TRA</w:t>
            </w:r>
          </w:p>
        </w:tc>
      </w:tr>
      <w:tr w:rsidR="00AE1968" w:rsidTr="00AE1968">
        <w:trPr>
          <w:trHeight w:val="1393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6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vi-VN"/>
              </w:rPr>
              <w:t>Doanh nghiệp tư nhân Như Bảo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(Giấy phép khai thác số 2632/GP-UBND)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</w:p>
          <w:p w:rsidR="00AE1968" w:rsidRDefault="00AE1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- Không đăng ký biến động đất đai (16.235 m</w:t>
            </w:r>
            <w:r>
              <w:rPr>
                <w:rFonts w:ascii="Times New Roman" w:eastAsia="Times New Roman" w:hAnsi="Times New Roman" w:cs="Times New Roman"/>
                <w:sz w:val="28"/>
                <w:vertAlign w:val="superscript"/>
                <w:lang w:val="vi-VN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vi-V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nl-NL"/>
              </w:rPr>
              <w:t>sau khi được chuyển mục đích sử dụng đất</w:t>
            </w:r>
            <w:r>
              <w:rPr>
                <w:rFonts w:ascii="Times New Roman" w:eastAsia="Times New Roman" w:hAnsi="Times New Roman" w:cs="Times New Roman"/>
                <w:sz w:val="28"/>
                <w:lang w:val="vi-VN"/>
              </w:rPr>
              <w:t>. Hiện nay, Giấy phép khai thác đã hết hạn.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29.737,5 </w:t>
            </w:r>
          </w:p>
        </w:tc>
      </w:tr>
      <w:tr w:rsidR="00AE1968" w:rsidTr="00AE1968">
        <w:trPr>
          <w:trHeight w:val="394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Cộng (II):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29.737,50</w:t>
            </w:r>
          </w:p>
        </w:tc>
      </w:tr>
      <w:tr w:rsidR="00AE1968" w:rsidTr="00AE1968">
        <w:trPr>
          <w:trHeight w:val="41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1968" w:rsidRDefault="00A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Cộng (I + II):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1968" w:rsidRDefault="00AE1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1968" w:rsidRDefault="00AE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237.225,1</w:t>
            </w:r>
          </w:p>
        </w:tc>
      </w:tr>
    </w:tbl>
    <w:p w:rsidR="00AE1968" w:rsidRDefault="00AE1968" w:rsidP="00AE1968">
      <w:pPr>
        <w:ind w:firstLine="567"/>
        <w:jc w:val="both"/>
        <w:rPr>
          <w:rFonts w:ascii="Times New Roman" w:hAnsi="Times New Roman" w:cs="Times New Roman"/>
          <w:sz w:val="28"/>
          <w:lang w:val="nl-NL"/>
        </w:rPr>
      </w:pPr>
      <w:bookmarkStart w:id="0" w:name="_GoBack"/>
      <w:bookmarkEnd w:id="0"/>
    </w:p>
    <w:sectPr w:rsidR="00AE1968" w:rsidSect="00925D54">
      <w:headerReference w:type="default" r:id="rId6"/>
      <w:pgSz w:w="16840" w:h="11907" w:orient="landscape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0C4" w:rsidRDefault="006120C4" w:rsidP="00CC5D64">
      <w:pPr>
        <w:spacing w:after="0" w:line="240" w:lineRule="auto"/>
      </w:pPr>
      <w:r>
        <w:separator/>
      </w:r>
    </w:p>
  </w:endnote>
  <w:endnote w:type="continuationSeparator" w:id="0">
    <w:p w:rsidR="006120C4" w:rsidRDefault="006120C4" w:rsidP="00CC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0C4" w:rsidRDefault="006120C4" w:rsidP="00CC5D64">
      <w:pPr>
        <w:spacing w:after="0" w:line="240" w:lineRule="auto"/>
      </w:pPr>
      <w:r>
        <w:separator/>
      </w:r>
    </w:p>
  </w:footnote>
  <w:footnote w:type="continuationSeparator" w:id="0">
    <w:p w:rsidR="006120C4" w:rsidRDefault="006120C4" w:rsidP="00CC5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58310"/>
      <w:docPartObj>
        <w:docPartGallery w:val="Page Numbers (Top of Page)"/>
        <w:docPartUnique/>
      </w:docPartObj>
    </w:sdtPr>
    <w:sdtEndPr>
      <w:rPr>
        <w:noProof/>
      </w:rPr>
    </w:sdtEndPr>
    <w:sdtContent>
      <w:p w:rsidR="00A26B4D" w:rsidRDefault="00A26B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9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6B4D" w:rsidRDefault="00A26B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64"/>
    <w:rsid w:val="00073A68"/>
    <w:rsid w:val="000802E1"/>
    <w:rsid w:val="000B3D77"/>
    <w:rsid w:val="000D4E56"/>
    <w:rsid w:val="00107B3F"/>
    <w:rsid w:val="00174698"/>
    <w:rsid w:val="00245C79"/>
    <w:rsid w:val="002560BA"/>
    <w:rsid w:val="002862C2"/>
    <w:rsid w:val="002C7214"/>
    <w:rsid w:val="00327A5F"/>
    <w:rsid w:val="00404BB6"/>
    <w:rsid w:val="00475202"/>
    <w:rsid w:val="005A329C"/>
    <w:rsid w:val="005A444E"/>
    <w:rsid w:val="005D1C3B"/>
    <w:rsid w:val="006120C4"/>
    <w:rsid w:val="00665CD2"/>
    <w:rsid w:val="0068034E"/>
    <w:rsid w:val="00694EF1"/>
    <w:rsid w:val="006B030C"/>
    <w:rsid w:val="006D13FD"/>
    <w:rsid w:val="00720FD3"/>
    <w:rsid w:val="0074683E"/>
    <w:rsid w:val="007D23ED"/>
    <w:rsid w:val="008049E3"/>
    <w:rsid w:val="008369D8"/>
    <w:rsid w:val="008973E3"/>
    <w:rsid w:val="008D7223"/>
    <w:rsid w:val="008E411D"/>
    <w:rsid w:val="00925D54"/>
    <w:rsid w:val="00935C26"/>
    <w:rsid w:val="00A25092"/>
    <w:rsid w:val="00A26B4D"/>
    <w:rsid w:val="00A350C3"/>
    <w:rsid w:val="00AE1968"/>
    <w:rsid w:val="00AE3A92"/>
    <w:rsid w:val="00CC5D64"/>
    <w:rsid w:val="00D41731"/>
    <w:rsid w:val="00E37116"/>
    <w:rsid w:val="00ED6D40"/>
    <w:rsid w:val="00F07D4F"/>
    <w:rsid w:val="00F254CF"/>
    <w:rsid w:val="00F73CB0"/>
    <w:rsid w:val="00FB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37909-9394-480D-BE2D-FF5D22AB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96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C5D6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D64"/>
    <w:rPr>
      <w:rFonts w:ascii="Times New Roman" w:eastAsia="Calibri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C5D64"/>
    <w:rPr>
      <w:vertAlign w:val="superscript"/>
    </w:rPr>
  </w:style>
  <w:style w:type="table" w:styleId="TableGrid">
    <w:name w:val="Table Grid"/>
    <w:basedOn w:val="TableNormal"/>
    <w:uiPriority w:val="39"/>
    <w:rsid w:val="00CC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5D64"/>
    <w:pPr>
      <w:spacing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B4D"/>
  </w:style>
  <w:style w:type="paragraph" w:styleId="Footer">
    <w:name w:val="footer"/>
    <w:basedOn w:val="Normal"/>
    <w:link w:val="Foot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2025-05-28T03:47:00Z</dcterms:created>
  <dcterms:modified xsi:type="dcterms:W3CDTF">2025-06-26T02:36:00Z</dcterms:modified>
</cp:coreProperties>
</file>